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E" w:rsidRPr="00964A9E" w:rsidRDefault="00964A9E" w:rsidP="00964A9E">
      <w:pPr>
        <w:bidi/>
        <w:spacing w:after="0" w:line="240" w:lineRule="auto"/>
        <w:rPr>
          <w:rFonts w:ascii="Tahoma" w:eastAsia="Times New Roman" w:hAnsi="Tahoma" w:cs="Tahoma"/>
          <w:b/>
          <w:bCs/>
        </w:rPr>
      </w:pPr>
      <w:bookmarkStart w:id="0" w:name="_GoBack"/>
      <w:r w:rsidRPr="00964A9E">
        <w:rPr>
          <w:rFonts w:ascii="Tahoma" w:eastAsia="Times New Roman" w:hAnsi="Tahoma" w:cs="Tahoma"/>
          <w:b/>
          <w:bCs/>
          <w:rtl/>
        </w:rPr>
        <w:t>خلاصه پایاننامه سودابه حیدری</w:t>
      </w:r>
    </w:p>
    <w:bookmarkEnd w:id="0"/>
    <w:p w:rsidR="00964A9E" w:rsidRPr="00964A9E" w:rsidRDefault="00964A9E" w:rsidP="00964A9E">
      <w:pPr>
        <w:bidi/>
        <w:spacing w:after="0" w:line="240" w:lineRule="auto"/>
        <w:rPr>
          <w:rFonts w:ascii="Times New Roman" w:eastAsia="Times New Roman" w:hAnsi="Times New Roman" w:cs="Times New Roman"/>
          <w:sz w:val="24"/>
          <w:szCs w:val="24"/>
        </w:rPr>
      </w:pPr>
    </w:p>
    <w:p w:rsidR="00964A9E" w:rsidRPr="00964A9E" w:rsidRDefault="00964A9E" w:rsidP="00964A9E">
      <w:pPr>
        <w:bidi/>
        <w:spacing w:line="240" w:lineRule="auto"/>
        <w:rPr>
          <w:rFonts w:ascii="Times New Roman" w:eastAsia="Times New Roman" w:hAnsi="Times New Roman" w:cs="Times New Roman"/>
          <w:sz w:val="24"/>
          <w:szCs w:val="24"/>
        </w:rPr>
      </w:pPr>
      <w:proofErr w:type="spellStart"/>
      <w:r w:rsidRPr="00964A9E">
        <w:rPr>
          <w:rFonts w:ascii="Tahoma" w:eastAsia="Times New Roman" w:hAnsi="Tahoma" w:cs="Tahoma"/>
          <w:b/>
          <w:bCs/>
          <w:sz w:val="20"/>
          <w:szCs w:val="20"/>
          <w:rtl/>
          <w:lang w:bidi="fa-IR"/>
        </w:rPr>
        <w:t>شناسايي</w:t>
      </w:r>
      <w:proofErr w:type="spellEnd"/>
      <w:r w:rsidRPr="00964A9E">
        <w:rPr>
          <w:rFonts w:ascii="Tahoma" w:eastAsia="Times New Roman" w:hAnsi="Tahoma" w:cs="Tahoma"/>
          <w:b/>
          <w:bCs/>
          <w:sz w:val="20"/>
          <w:szCs w:val="20"/>
          <w:rtl/>
          <w:lang w:bidi="fa-IR"/>
        </w:rPr>
        <w:t xml:space="preserve"> </w:t>
      </w:r>
      <w:r w:rsidRPr="00964A9E">
        <w:rPr>
          <w:rFonts w:ascii="Tahoma" w:eastAsia="Times New Roman" w:hAnsi="Tahoma" w:cs="Tahoma"/>
          <w:b/>
          <w:bCs/>
          <w:sz w:val="20"/>
          <w:szCs w:val="20"/>
          <w:rtl/>
        </w:rPr>
        <w:t>پروتئين هاي ايم</w:t>
      </w:r>
      <w:r w:rsidRPr="00964A9E">
        <w:rPr>
          <w:rFonts w:ascii="Tahoma" w:eastAsia="Times New Roman" w:hAnsi="Tahoma" w:cs="Tahoma"/>
          <w:b/>
          <w:bCs/>
          <w:sz w:val="20"/>
          <w:szCs w:val="20"/>
          <w:rtl/>
          <w:lang w:bidi="fa-IR"/>
        </w:rPr>
        <w:t>و</w:t>
      </w:r>
      <w:r w:rsidRPr="00964A9E">
        <w:rPr>
          <w:rFonts w:ascii="Tahoma" w:eastAsia="Times New Roman" w:hAnsi="Tahoma" w:cs="Tahoma"/>
          <w:b/>
          <w:bCs/>
          <w:sz w:val="20"/>
          <w:szCs w:val="20"/>
          <w:rtl/>
        </w:rPr>
        <w:t xml:space="preserve">نودومينانت </w:t>
      </w:r>
      <w:proofErr w:type="spellStart"/>
      <w:r w:rsidRPr="00964A9E">
        <w:rPr>
          <w:rFonts w:ascii="Tahoma" w:eastAsia="Times New Roman" w:hAnsi="Tahoma" w:cs="Tahoma"/>
          <w:b/>
          <w:bCs/>
          <w:sz w:val="20"/>
          <w:szCs w:val="20"/>
          <w:rtl/>
          <w:lang w:bidi="fa-IR"/>
        </w:rPr>
        <w:t>پروماستیگوت</w:t>
      </w:r>
      <w:proofErr w:type="spellEnd"/>
      <w:r w:rsidRPr="00964A9E">
        <w:rPr>
          <w:rFonts w:ascii="Calibri" w:eastAsia="Times New Roman" w:hAnsi="Calibri" w:cs="Calibri"/>
          <w:b/>
          <w:bCs/>
          <w:rtl/>
        </w:rPr>
        <w:t xml:space="preserve"> </w:t>
      </w:r>
      <w:r w:rsidRPr="00964A9E">
        <w:rPr>
          <w:rFonts w:ascii="Tahoma" w:eastAsia="Times New Roman" w:hAnsi="Tahoma" w:cs="Tahoma"/>
          <w:b/>
          <w:bCs/>
          <w:sz w:val="20"/>
          <w:szCs w:val="20"/>
          <w:rtl/>
          <w:lang w:bidi="fa-IR"/>
        </w:rPr>
        <w:t xml:space="preserve">های </w:t>
      </w:r>
      <w:r w:rsidRPr="00964A9E">
        <w:rPr>
          <w:rFonts w:ascii="Tahoma" w:eastAsia="Times New Roman" w:hAnsi="Tahoma" w:cs="Tahoma"/>
          <w:b/>
          <w:bCs/>
          <w:sz w:val="20"/>
          <w:szCs w:val="20"/>
          <w:rtl/>
        </w:rPr>
        <w:t>لیشمانیا اینفانتوم (</w:t>
      </w:r>
      <w:proofErr w:type="spellStart"/>
      <w:r w:rsidRPr="00964A9E">
        <w:rPr>
          <w:rFonts w:ascii="Tahoma" w:eastAsia="Times New Roman" w:hAnsi="Tahoma" w:cs="Tahoma"/>
          <w:b/>
          <w:bCs/>
          <w:sz w:val="20"/>
          <w:szCs w:val="20"/>
          <w:rtl/>
          <w:lang w:bidi="fa-IR"/>
        </w:rPr>
        <w:t>سويه</w:t>
      </w:r>
      <w:proofErr w:type="spellEnd"/>
      <w:r w:rsidRPr="00964A9E">
        <w:rPr>
          <w:rFonts w:ascii="Tahoma" w:eastAsia="Times New Roman" w:hAnsi="Tahoma" w:cs="Tahoma"/>
          <w:b/>
          <w:bCs/>
          <w:sz w:val="20"/>
          <w:szCs w:val="20"/>
          <w:rtl/>
          <w:lang w:bidi="fa-IR"/>
        </w:rPr>
        <w:t xml:space="preserve"> </w:t>
      </w:r>
      <w:proofErr w:type="spellStart"/>
      <w:r w:rsidRPr="00964A9E">
        <w:rPr>
          <w:rFonts w:ascii="Tahoma" w:eastAsia="Times New Roman" w:hAnsi="Tahoma" w:cs="Tahoma"/>
          <w:b/>
          <w:bCs/>
          <w:sz w:val="20"/>
          <w:szCs w:val="20"/>
          <w:rtl/>
          <w:lang w:bidi="fa-IR"/>
        </w:rPr>
        <w:t>ايران</w:t>
      </w:r>
      <w:proofErr w:type="spellEnd"/>
      <w:r w:rsidRPr="00964A9E">
        <w:rPr>
          <w:rFonts w:ascii="Tahoma" w:eastAsia="Times New Roman" w:hAnsi="Tahoma" w:cs="Tahoma"/>
          <w:b/>
          <w:bCs/>
          <w:sz w:val="20"/>
          <w:szCs w:val="20"/>
          <w:rtl/>
          <w:lang w:bidi="fa-IR"/>
        </w:rPr>
        <w:t>)</w:t>
      </w:r>
      <w:r w:rsidRPr="00964A9E">
        <w:rPr>
          <w:rFonts w:ascii="Tahoma" w:eastAsia="Times New Roman" w:hAnsi="Tahoma" w:cs="Tahoma"/>
          <w:b/>
          <w:bCs/>
          <w:sz w:val="20"/>
          <w:szCs w:val="20"/>
          <w:rtl/>
        </w:rPr>
        <w:t xml:space="preserve"> با استفاده از تكنيك های پروتئومیکس و ايمنوبلاتينگ </w:t>
      </w:r>
      <w:r w:rsidRPr="00964A9E">
        <w:rPr>
          <w:rFonts w:ascii="Tahoma" w:eastAsia="Times New Roman" w:hAnsi="Tahoma" w:cs="Tahoma"/>
          <w:b/>
          <w:bCs/>
          <w:sz w:val="20"/>
          <w:szCs w:val="20"/>
          <w:rtl/>
          <w:lang w:bidi="fa-IR"/>
        </w:rPr>
        <w:t xml:space="preserve">و ارزیابی پروتئین شاخص جهت تشخیص </w:t>
      </w:r>
      <w:proofErr w:type="spellStart"/>
      <w:r w:rsidRPr="00964A9E">
        <w:rPr>
          <w:rFonts w:ascii="Tahoma" w:eastAsia="Times New Roman" w:hAnsi="Tahoma" w:cs="Tahoma"/>
          <w:b/>
          <w:bCs/>
          <w:sz w:val="20"/>
          <w:szCs w:val="20"/>
          <w:rtl/>
          <w:lang w:bidi="fa-IR"/>
        </w:rPr>
        <w:t>لیشمانیوز</w:t>
      </w:r>
      <w:proofErr w:type="spellEnd"/>
      <w:r w:rsidRPr="00964A9E">
        <w:rPr>
          <w:rFonts w:ascii="Tahoma" w:eastAsia="Times New Roman" w:hAnsi="Tahoma" w:cs="Tahoma"/>
          <w:b/>
          <w:bCs/>
          <w:sz w:val="20"/>
          <w:szCs w:val="20"/>
          <w:rtl/>
          <w:lang w:bidi="fa-IR"/>
        </w:rPr>
        <w:t xml:space="preserve"> </w:t>
      </w:r>
      <w:proofErr w:type="spellStart"/>
      <w:r w:rsidRPr="00964A9E">
        <w:rPr>
          <w:rFonts w:ascii="Tahoma" w:eastAsia="Times New Roman" w:hAnsi="Tahoma" w:cs="Tahoma"/>
          <w:b/>
          <w:bCs/>
          <w:sz w:val="20"/>
          <w:szCs w:val="20"/>
          <w:rtl/>
          <w:lang w:bidi="fa-IR"/>
        </w:rPr>
        <w:t>احشایی</w:t>
      </w:r>
      <w:proofErr w:type="spellEnd"/>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b/>
          <w:bCs/>
          <w:color w:val="000000"/>
          <w:sz w:val="20"/>
          <w:szCs w:val="20"/>
          <w:rtl/>
          <w:lang w:bidi="fa-IR"/>
        </w:rPr>
        <w:t>مقدمه و هدف</w:t>
      </w:r>
      <w:r w:rsidRPr="00964A9E">
        <w:rPr>
          <w:rFonts w:ascii="Tahoma" w:eastAsia="Times New Roman" w:hAnsi="Tahoma" w:cs="Tahoma"/>
          <w:b/>
          <w:bCs/>
          <w:color w:val="000000"/>
          <w:sz w:val="20"/>
          <w:szCs w:val="20"/>
          <w:rtl/>
        </w:rPr>
        <w:t xml:space="preserve">: </w:t>
      </w:r>
      <w:r w:rsidRPr="00964A9E">
        <w:rPr>
          <w:rFonts w:ascii="Tahoma" w:eastAsia="Times New Roman" w:hAnsi="Tahoma" w:cs="Tahoma"/>
          <w:sz w:val="20"/>
          <w:szCs w:val="20"/>
          <w:rtl/>
        </w:rPr>
        <w:t>لیشمانیوز احشایی، بیماری انگلی کشنده ای است که عامل آن در منطقه مدیترانه از جمله ایران، لیشمانیا اینفانتوم می باشد. بیماری در شمال غربی، جنوب غربی و جنوب و اخیراً شمال شرقی ایران بصورت آندمیک است. هدف از مطالعه حاضر شناسایی پروتئین های شاخص ایمنی پروماستیگوت لیشمانیا اینفانتوم (سویه بومی ایران) با استفاده از تکنیک های ایمنوپروتئومیکس و تهیه آنتی ژن نوترکیب بمنظور ارتقاء روشهای سرولوژی تشخیص لیشمانیوز احشایی در انسان می باشد.</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b/>
          <w:bCs/>
          <w:sz w:val="20"/>
          <w:szCs w:val="20"/>
          <w:rtl/>
          <w:lang w:bidi="fa-IR"/>
        </w:rPr>
        <w:t xml:space="preserve">روش کار: </w:t>
      </w:r>
      <w:r w:rsidRPr="00964A9E">
        <w:rPr>
          <w:rFonts w:ascii="Tahoma" w:eastAsia="Times New Roman" w:hAnsi="Tahoma" w:cs="Tahoma"/>
          <w:sz w:val="20"/>
          <w:szCs w:val="20"/>
          <w:rtl/>
        </w:rPr>
        <w:t xml:space="preserve">پروتئین های پروماستیگوت لیشمانیا اینفانتوم با روش تری کلرو استیک – استون استخراج و با استفاده از </w:t>
      </w:r>
      <w:r w:rsidRPr="00964A9E">
        <w:rPr>
          <w:rFonts w:ascii="Tahoma" w:eastAsia="Times New Roman" w:hAnsi="Tahoma" w:cs="Tahoma"/>
          <w:sz w:val="20"/>
          <w:szCs w:val="20"/>
          <w:rtl/>
          <w:lang w:bidi="fa-IR"/>
        </w:rPr>
        <w:t xml:space="preserve">ژل </w:t>
      </w:r>
      <w:r w:rsidRPr="00964A9E">
        <w:rPr>
          <w:rFonts w:ascii="Tahoma" w:eastAsia="Times New Roman" w:hAnsi="Tahoma" w:cs="Tahoma"/>
          <w:sz w:val="20"/>
          <w:szCs w:val="20"/>
          <w:rtl/>
        </w:rPr>
        <w:t xml:space="preserve">الکتروفورز دو بعدی </w:t>
      </w:r>
      <w:r w:rsidRPr="00964A9E">
        <w:rPr>
          <w:rFonts w:ascii="Tahoma" w:eastAsia="Times New Roman" w:hAnsi="Tahoma" w:cs="Tahoma"/>
          <w:sz w:val="20"/>
          <w:szCs w:val="20"/>
        </w:rPr>
        <w:t>(2-DE)</w:t>
      </w:r>
      <w:r w:rsidRPr="00964A9E">
        <w:rPr>
          <w:rFonts w:ascii="Tahoma" w:eastAsia="Times New Roman" w:hAnsi="Tahoma" w:cs="Tahoma"/>
          <w:sz w:val="20"/>
          <w:szCs w:val="20"/>
          <w:rtl/>
        </w:rPr>
        <w:t xml:space="preserve"> جداسازی شدند. </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sz w:val="20"/>
          <w:szCs w:val="20"/>
          <w:rtl/>
        </w:rPr>
        <w:t xml:space="preserve">تکنیک ایمنوبلاتینگ بمنظور شناسایی پروتئین های واکنش گر ایمنی با استفاده از 6 مخلوط سرمی از افراد مبتلا به کالاآزار با تیترهای متفاوت سرولوژی با استفاده از روش آگلوتیناسیون مستقیم </w:t>
      </w:r>
      <w:r w:rsidRPr="00964A9E">
        <w:rPr>
          <w:rFonts w:ascii="Tahoma" w:eastAsia="Times New Roman" w:hAnsi="Tahoma" w:cs="Tahoma"/>
          <w:sz w:val="20"/>
          <w:szCs w:val="20"/>
        </w:rPr>
        <w:t>(DAT)</w:t>
      </w:r>
      <w:r w:rsidRPr="00964A9E">
        <w:rPr>
          <w:rFonts w:ascii="Tahoma" w:eastAsia="Times New Roman" w:hAnsi="Tahoma" w:cs="Tahoma"/>
          <w:sz w:val="20"/>
          <w:szCs w:val="20"/>
          <w:rtl/>
          <w:lang w:bidi="fa-IR"/>
        </w:rPr>
        <w:t xml:space="preserve"> در مقایسه با نمونه های کنترل منفی انجام شد. 6 مخلوط سرمی شامل 3 مخلوط سرمی با </w:t>
      </w:r>
      <w:r w:rsidRPr="00964A9E">
        <w:rPr>
          <w:rFonts w:ascii="Tahoma" w:eastAsia="Times New Roman" w:hAnsi="Tahoma" w:cs="Tahoma"/>
          <w:sz w:val="20"/>
          <w:szCs w:val="20"/>
          <w:rtl/>
        </w:rPr>
        <w:t xml:space="preserve">تیتر پایین (1:3200 تا 1:6400) و 3 مخلوط سرمی با تیتر بالای (1:12800 تا 1:102400) آنتی بادی اختصاصی علیه لیشمانیا اینفانتوم بودند و </w:t>
      </w:r>
      <w:r w:rsidRPr="00964A9E">
        <w:rPr>
          <w:rFonts w:ascii="Tahoma" w:eastAsia="Times New Roman" w:hAnsi="Tahoma" w:cs="Tahoma"/>
          <w:sz w:val="20"/>
          <w:szCs w:val="20"/>
          <w:rtl/>
          <w:lang w:bidi="fa-IR"/>
        </w:rPr>
        <w:t xml:space="preserve">از کانون های </w:t>
      </w:r>
      <w:r w:rsidRPr="00964A9E">
        <w:rPr>
          <w:rFonts w:ascii="Tahoma" w:eastAsia="Times New Roman" w:hAnsi="Tahoma" w:cs="Tahoma"/>
          <w:sz w:val="20"/>
          <w:szCs w:val="20"/>
          <w:rtl/>
        </w:rPr>
        <w:t>آندمیک بیماری (اردبیل، آذربایجان شرقی و فارس) جمع آوری گردیده بود. نمونه های کنترل منفی شامل 3 مخلوط سرمی از افراد فاقد آنتی بادی علیه لیشمانیا اینفانتوم از منطقه غیر آندمیک بیماری (تهران) بود.</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sz w:val="20"/>
          <w:szCs w:val="20"/>
          <w:rtl/>
        </w:rPr>
        <w:t xml:space="preserve"> تعدادی از پروتئین های </w:t>
      </w:r>
      <w:r w:rsidRPr="00964A9E">
        <w:rPr>
          <w:rFonts w:ascii="Tahoma" w:eastAsia="Times New Roman" w:hAnsi="Tahoma" w:cs="Tahoma"/>
          <w:sz w:val="20"/>
          <w:szCs w:val="20"/>
          <w:rtl/>
          <w:lang w:bidi="fa-IR"/>
        </w:rPr>
        <w:t>واکنش گر ایمنی</w:t>
      </w:r>
      <w:r w:rsidRPr="00964A9E">
        <w:rPr>
          <w:rFonts w:ascii="Tahoma" w:eastAsia="Times New Roman" w:hAnsi="Tahoma" w:cs="Tahoma"/>
          <w:sz w:val="20"/>
          <w:szCs w:val="20"/>
          <w:rtl/>
        </w:rPr>
        <w:t xml:space="preserve"> با روش</w:t>
      </w:r>
      <w:r w:rsidRPr="00964A9E">
        <w:rPr>
          <w:rFonts w:ascii="Calibri" w:eastAsia="Times New Roman" w:hAnsi="Calibri" w:cs="Calibri"/>
          <w:rtl/>
        </w:rPr>
        <w:t xml:space="preserve"> </w:t>
      </w:r>
      <w:r w:rsidRPr="00964A9E">
        <w:rPr>
          <w:rFonts w:ascii="Tahoma" w:eastAsia="Times New Roman" w:hAnsi="Tahoma" w:cs="Tahoma"/>
          <w:sz w:val="20"/>
          <w:szCs w:val="20"/>
          <w:rtl/>
        </w:rPr>
        <w:t>طیف سنجی جرمی</w:t>
      </w:r>
      <w:r w:rsidRPr="00964A9E">
        <w:rPr>
          <w:rFonts w:ascii="Tahoma" w:eastAsia="Times New Roman" w:hAnsi="Tahoma" w:cs="Tahoma"/>
          <w:sz w:val="20"/>
          <w:szCs w:val="20"/>
        </w:rPr>
        <w:t xml:space="preserve">(MALDI-TOF/TOF) </w:t>
      </w:r>
      <w:r w:rsidRPr="00964A9E">
        <w:rPr>
          <w:rFonts w:ascii="Tahoma" w:eastAsia="Times New Roman" w:hAnsi="Tahoma" w:cs="Tahoma"/>
          <w:sz w:val="20"/>
          <w:szCs w:val="20"/>
          <w:rtl/>
        </w:rPr>
        <w:t xml:space="preserve">شناسایی شدند. اپیتوپ های خطی و فضایی سلول </w:t>
      </w:r>
      <w:r w:rsidRPr="00964A9E">
        <w:rPr>
          <w:rFonts w:ascii="Tahoma" w:eastAsia="Times New Roman" w:hAnsi="Tahoma" w:cs="Tahoma"/>
          <w:sz w:val="20"/>
          <w:szCs w:val="20"/>
        </w:rPr>
        <w:t>B</w:t>
      </w:r>
      <w:r w:rsidRPr="00964A9E">
        <w:rPr>
          <w:rFonts w:ascii="Tahoma" w:eastAsia="Times New Roman" w:hAnsi="Tahoma" w:cs="Tahoma"/>
          <w:sz w:val="20"/>
          <w:szCs w:val="20"/>
          <w:rtl/>
        </w:rPr>
        <w:t xml:space="preserve"> برخی از پروتئین های واکنش گر ایمنی با استفاده از آنالیزهای بیوانفورماتیک جهت طراحی پروتئین نوترکیب شناسایی گردید.</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sz w:val="20"/>
          <w:szCs w:val="20"/>
          <w:rtl/>
        </w:rPr>
        <w:t xml:space="preserve"> ژن پروتئین نوترکیب طراحی شده در وکتور </w:t>
      </w:r>
      <w:r w:rsidRPr="00964A9E">
        <w:rPr>
          <w:rFonts w:ascii="Tahoma" w:eastAsia="Times New Roman" w:hAnsi="Tahoma" w:cs="Tahoma"/>
          <w:sz w:val="20"/>
          <w:szCs w:val="20"/>
        </w:rPr>
        <w:t>PGH</w:t>
      </w:r>
      <w:r w:rsidRPr="00964A9E">
        <w:rPr>
          <w:rFonts w:ascii="Calibri" w:eastAsia="Times New Roman" w:hAnsi="Calibri" w:cs="Calibri"/>
          <w:b/>
          <w:bCs/>
          <w:rtl/>
        </w:rPr>
        <w:t xml:space="preserve"> </w:t>
      </w:r>
      <w:r w:rsidRPr="00964A9E">
        <w:rPr>
          <w:rFonts w:ascii="Tahoma" w:eastAsia="Times New Roman" w:hAnsi="Tahoma" w:cs="Tahoma"/>
          <w:sz w:val="20"/>
          <w:szCs w:val="20"/>
          <w:rtl/>
          <w:lang w:bidi="fa-IR"/>
        </w:rPr>
        <w:t>کلون</w:t>
      </w:r>
      <w:r w:rsidRPr="00964A9E">
        <w:rPr>
          <w:rFonts w:ascii="Calibri" w:eastAsia="Times New Roman" w:hAnsi="Calibri" w:cs="Calibri"/>
          <w:b/>
          <w:bCs/>
          <w:rtl/>
        </w:rPr>
        <w:t xml:space="preserve"> </w:t>
      </w:r>
      <w:r w:rsidRPr="00964A9E">
        <w:rPr>
          <w:rFonts w:ascii="Tahoma" w:eastAsia="Times New Roman" w:hAnsi="Tahoma" w:cs="Tahoma"/>
          <w:sz w:val="20"/>
          <w:szCs w:val="20"/>
          <w:rtl/>
          <w:lang w:bidi="fa-IR"/>
        </w:rPr>
        <w:t>و در</w:t>
      </w:r>
      <w:r w:rsidRPr="00964A9E">
        <w:rPr>
          <w:rFonts w:ascii="Calibri" w:eastAsia="Times New Roman" w:hAnsi="Calibri" w:cs="Calibri"/>
          <w:rtl/>
        </w:rPr>
        <w:t xml:space="preserve"> </w:t>
      </w:r>
      <w:proofErr w:type="spellStart"/>
      <w:r w:rsidRPr="00964A9E">
        <w:rPr>
          <w:rFonts w:ascii="Tahoma" w:eastAsia="Times New Roman" w:hAnsi="Tahoma" w:cs="Tahoma"/>
          <w:sz w:val="20"/>
          <w:szCs w:val="20"/>
          <w:rtl/>
          <w:lang w:bidi="fa-IR"/>
        </w:rPr>
        <w:t>وکتور</w:t>
      </w:r>
      <w:proofErr w:type="spellEnd"/>
      <w:r w:rsidRPr="00964A9E">
        <w:rPr>
          <w:rFonts w:ascii="Tahoma" w:eastAsia="Times New Roman" w:hAnsi="Tahoma" w:cs="Tahoma"/>
          <w:sz w:val="20"/>
          <w:szCs w:val="20"/>
          <w:rtl/>
          <w:lang w:bidi="fa-IR"/>
        </w:rPr>
        <w:t xml:space="preserve"> بیانی </w:t>
      </w:r>
      <w:r w:rsidRPr="00964A9E">
        <w:rPr>
          <w:rFonts w:ascii="Tahoma" w:eastAsia="Times New Roman" w:hAnsi="Tahoma" w:cs="Tahoma"/>
          <w:sz w:val="20"/>
          <w:szCs w:val="20"/>
        </w:rPr>
        <w:t>pET28-a</w:t>
      </w:r>
      <w:r w:rsidRPr="00964A9E">
        <w:rPr>
          <w:rFonts w:ascii="Tahoma" w:eastAsia="Times New Roman" w:hAnsi="Tahoma" w:cs="Tahoma"/>
          <w:sz w:val="20"/>
          <w:szCs w:val="20"/>
          <w:rtl/>
          <w:lang w:bidi="fa-IR"/>
        </w:rPr>
        <w:t xml:space="preserve"> ساب کلون گردید و در </w:t>
      </w:r>
      <w:r w:rsidRPr="00964A9E">
        <w:rPr>
          <w:rFonts w:ascii="Tahoma" w:eastAsia="Times New Roman" w:hAnsi="Tahoma" w:cs="Tahoma"/>
          <w:sz w:val="20"/>
          <w:szCs w:val="20"/>
          <w:rtl/>
        </w:rPr>
        <w:t xml:space="preserve">میزبان بیانی </w:t>
      </w:r>
      <w:r w:rsidRPr="00964A9E">
        <w:rPr>
          <w:rFonts w:ascii="Tahoma" w:eastAsia="Times New Roman" w:hAnsi="Tahoma" w:cs="Tahoma"/>
          <w:sz w:val="20"/>
          <w:szCs w:val="20"/>
        </w:rPr>
        <w:t>(DE3)</w:t>
      </w:r>
      <w:r w:rsidRPr="00964A9E">
        <w:rPr>
          <w:rFonts w:ascii="Calibri" w:eastAsia="Times New Roman" w:hAnsi="Calibri" w:cs="Calibri"/>
          <w:rtl/>
        </w:rPr>
        <w:t xml:space="preserve"> </w:t>
      </w:r>
      <w:r w:rsidRPr="00964A9E">
        <w:rPr>
          <w:rFonts w:ascii="Tahoma" w:eastAsia="Times New Roman" w:hAnsi="Tahoma" w:cs="Tahoma"/>
          <w:i/>
          <w:iCs/>
          <w:sz w:val="20"/>
          <w:szCs w:val="20"/>
        </w:rPr>
        <w:t xml:space="preserve">E. </w:t>
      </w:r>
      <w:proofErr w:type="gramStart"/>
      <w:r w:rsidRPr="00964A9E">
        <w:rPr>
          <w:rFonts w:ascii="Tahoma" w:eastAsia="Times New Roman" w:hAnsi="Tahoma" w:cs="Tahoma"/>
          <w:i/>
          <w:iCs/>
          <w:sz w:val="20"/>
          <w:szCs w:val="20"/>
        </w:rPr>
        <w:t>coli</w:t>
      </w:r>
      <w:proofErr w:type="gramEnd"/>
      <w:r w:rsidRPr="00964A9E">
        <w:rPr>
          <w:rFonts w:ascii="Tahoma" w:eastAsia="Times New Roman" w:hAnsi="Tahoma" w:cs="Tahoma"/>
          <w:sz w:val="20"/>
          <w:szCs w:val="20"/>
        </w:rPr>
        <w:t xml:space="preserve"> BL21</w:t>
      </w:r>
      <w:r w:rsidRPr="00964A9E">
        <w:rPr>
          <w:rFonts w:ascii="Tahoma" w:eastAsia="Times New Roman" w:hAnsi="Tahoma" w:cs="Tahoma"/>
          <w:sz w:val="20"/>
          <w:szCs w:val="20"/>
          <w:rtl/>
        </w:rPr>
        <w:t xml:space="preserve">، پروتئین نوترکیب بیان و سپس تخلیص </w:t>
      </w:r>
      <w:r w:rsidRPr="00964A9E">
        <w:rPr>
          <w:rFonts w:ascii="Tahoma" w:eastAsia="Times New Roman" w:hAnsi="Tahoma" w:cs="Tahoma"/>
          <w:sz w:val="20"/>
          <w:szCs w:val="20"/>
          <w:rtl/>
          <w:lang w:bidi="fa-IR"/>
        </w:rPr>
        <w:t xml:space="preserve">گردید. آنتی ژن نوترکیب </w:t>
      </w:r>
      <w:r w:rsidRPr="00964A9E">
        <w:rPr>
          <w:rFonts w:ascii="Tahoma" w:eastAsia="Times New Roman" w:hAnsi="Tahoma" w:cs="Tahoma"/>
          <w:sz w:val="20"/>
          <w:szCs w:val="20"/>
          <w:rtl/>
        </w:rPr>
        <w:t xml:space="preserve">جهت تشخیص لیشمانیوز احشایی در انسان مورد ارزیابی قرار گرفت. </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sz w:val="20"/>
          <w:szCs w:val="20"/>
          <w:shd w:val="clear" w:color="auto" w:fill="FFFFFF"/>
          <w:rtl/>
        </w:rPr>
        <w:t>جهت ارزیابی آنتی ژن نوترکیب در مقایسه با آنتی ژن خام انگل با روش الایزای غیرمستقیم، نمونه های سرمی مورد بررسی قرار گرفتند. 34 نمونه سرم از افراد دارای علائم بالینی لیشمانیوز احشایی که با تست</w:t>
      </w:r>
      <w:r w:rsidRPr="00964A9E">
        <w:rPr>
          <w:rFonts w:ascii="Tahoma" w:eastAsia="Times New Roman" w:hAnsi="Tahoma" w:cs="Tahoma"/>
          <w:sz w:val="20"/>
          <w:szCs w:val="20"/>
          <w:shd w:val="clear" w:color="auto" w:fill="FFFFFF"/>
        </w:rPr>
        <w:t xml:space="preserve">DAT </w:t>
      </w:r>
      <w:r w:rsidRPr="00964A9E">
        <w:rPr>
          <w:rFonts w:ascii="Tahoma" w:eastAsia="Times New Roman" w:hAnsi="Tahoma" w:cs="Tahoma"/>
          <w:sz w:val="20"/>
          <w:szCs w:val="20"/>
          <w:shd w:val="clear" w:color="auto" w:fill="FFFFFF"/>
          <w:rtl/>
        </w:rPr>
        <w:t xml:space="preserve"> دارای تیتر آنتی بادی 1:3200≤ بودند از نظر بیماری مذکور مثبت در نظر گرفته شدند. همچنین تعداد 107 نمونه سرم شامل 90 نمونه سرم افراد فاقد علائم بالینی لیشمانیوز احشایی و 17 نمونه سرم بیمار مبتلا به سایر بیماری های عفونی انسانی مانند لیشمانیوز جلدی (4 نمونه)، توکسوپلاسموزیس (2)، مالاریا (1)، هیداتیدوزیس (3)، استرونژیلوئیدیازیس (2)، فاسیولیازیس (3)، توبرکلوزیس (1) و سیفلیس (1) </w:t>
      </w:r>
      <w:r w:rsidRPr="00964A9E">
        <w:rPr>
          <w:rFonts w:ascii="Tahoma" w:eastAsia="Times New Roman" w:hAnsi="Tahoma" w:cs="Tahoma"/>
          <w:sz w:val="20"/>
          <w:szCs w:val="20"/>
          <w:shd w:val="clear" w:color="auto" w:fill="FFFFFF"/>
          <w:rtl/>
          <w:lang w:bidi="fa-IR"/>
        </w:rPr>
        <w:t xml:space="preserve">به عنوان نمونه های کنترل منفی </w:t>
      </w:r>
      <w:proofErr w:type="spellStart"/>
      <w:r w:rsidRPr="00964A9E">
        <w:rPr>
          <w:rFonts w:ascii="Tahoma" w:eastAsia="Times New Roman" w:hAnsi="Tahoma" w:cs="Tahoma"/>
          <w:sz w:val="20"/>
          <w:szCs w:val="20"/>
          <w:shd w:val="clear" w:color="auto" w:fill="FFFFFF"/>
          <w:rtl/>
          <w:lang w:bidi="fa-IR"/>
        </w:rPr>
        <w:t>لیشمانیوز</w:t>
      </w:r>
      <w:proofErr w:type="spellEnd"/>
      <w:r w:rsidRPr="00964A9E">
        <w:rPr>
          <w:rFonts w:ascii="Tahoma" w:eastAsia="Times New Roman" w:hAnsi="Tahoma" w:cs="Tahoma"/>
          <w:sz w:val="20"/>
          <w:szCs w:val="20"/>
          <w:shd w:val="clear" w:color="auto" w:fill="FFFFFF"/>
          <w:rtl/>
          <w:lang w:bidi="fa-IR"/>
        </w:rPr>
        <w:t xml:space="preserve"> </w:t>
      </w:r>
      <w:proofErr w:type="spellStart"/>
      <w:r w:rsidRPr="00964A9E">
        <w:rPr>
          <w:rFonts w:ascii="Tahoma" w:eastAsia="Times New Roman" w:hAnsi="Tahoma" w:cs="Tahoma"/>
          <w:sz w:val="20"/>
          <w:szCs w:val="20"/>
          <w:shd w:val="clear" w:color="auto" w:fill="FFFFFF"/>
          <w:rtl/>
          <w:lang w:bidi="fa-IR"/>
        </w:rPr>
        <w:t>احشایی</w:t>
      </w:r>
      <w:proofErr w:type="spellEnd"/>
      <w:r w:rsidRPr="00964A9E">
        <w:rPr>
          <w:rFonts w:ascii="Tahoma" w:eastAsia="Times New Roman" w:hAnsi="Tahoma" w:cs="Tahoma"/>
          <w:sz w:val="20"/>
          <w:szCs w:val="20"/>
          <w:shd w:val="clear" w:color="auto" w:fill="FFFFFF"/>
          <w:rtl/>
          <w:lang w:bidi="fa-IR"/>
        </w:rPr>
        <w:t xml:space="preserve"> </w:t>
      </w:r>
      <w:r w:rsidRPr="00964A9E">
        <w:rPr>
          <w:rFonts w:ascii="Tahoma" w:eastAsia="Times New Roman" w:hAnsi="Tahoma" w:cs="Tahoma"/>
          <w:sz w:val="20"/>
          <w:szCs w:val="20"/>
          <w:shd w:val="clear" w:color="auto" w:fill="FFFFFF"/>
          <w:rtl/>
        </w:rPr>
        <w:t>در نظر گرفته شدند.</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sz w:val="20"/>
          <w:szCs w:val="20"/>
          <w:rtl/>
        </w:rPr>
        <w:t xml:space="preserve">نتایج روش های الایزای غیرمستقیم با استفاده از آنتی ژن نوترکیب و آنتی ژن خام و روش </w:t>
      </w:r>
      <w:r w:rsidRPr="00964A9E">
        <w:rPr>
          <w:rFonts w:ascii="Tahoma" w:eastAsia="Times New Roman" w:hAnsi="Tahoma" w:cs="Tahoma"/>
          <w:sz w:val="20"/>
          <w:szCs w:val="20"/>
        </w:rPr>
        <w:t>DAT</w:t>
      </w:r>
      <w:r w:rsidRPr="00964A9E">
        <w:rPr>
          <w:rFonts w:ascii="Tahoma" w:eastAsia="Times New Roman" w:hAnsi="Tahoma" w:cs="Tahoma"/>
          <w:sz w:val="20"/>
          <w:szCs w:val="20"/>
          <w:rtl/>
        </w:rPr>
        <w:t xml:space="preserve"> با یکدیگر مقایسه شدند و توسط نرم افزار های آماری مورد تجزیه و تحلیل قرار گرفتند.</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b/>
          <w:bCs/>
          <w:color w:val="000000"/>
          <w:sz w:val="20"/>
          <w:szCs w:val="20"/>
          <w:rtl/>
        </w:rPr>
        <w:t>یافته ها:</w:t>
      </w:r>
      <w:r w:rsidRPr="00964A9E">
        <w:rPr>
          <w:rFonts w:ascii="Tahoma" w:eastAsia="Times New Roman" w:hAnsi="Tahoma" w:cs="Tahoma"/>
          <w:color w:val="000000"/>
          <w:sz w:val="20"/>
          <w:szCs w:val="20"/>
          <w:rtl/>
        </w:rPr>
        <w:t xml:space="preserve"> در پروفایل </w:t>
      </w:r>
      <w:r w:rsidRPr="00964A9E">
        <w:rPr>
          <w:rFonts w:ascii="Tahoma" w:eastAsia="Times New Roman" w:hAnsi="Tahoma" w:cs="Tahoma"/>
          <w:sz w:val="20"/>
          <w:szCs w:val="20"/>
          <w:rtl/>
        </w:rPr>
        <w:t>پروتئین پروماستیگوت لیشمانیا اینفانتوم سویه بومی ایران</w:t>
      </w:r>
      <w:r w:rsidRPr="00964A9E">
        <w:rPr>
          <w:rFonts w:ascii="Tahoma" w:eastAsia="Times New Roman" w:hAnsi="Tahoma" w:cs="Tahoma"/>
          <w:color w:val="000000"/>
          <w:sz w:val="20"/>
          <w:szCs w:val="20"/>
          <w:rtl/>
        </w:rPr>
        <w:t xml:space="preserve"> حدوداً تعداد</w:t>
      </w:r>
      <w:r w:rsidRPr="00964A9E">
        <w:rPr>
          <w:rFonts w:ascii="Tahoma" w:eastAsia="Times New Roman" w:hAnsi="Tahoma" w:cs="Tahoma"/>
          <w:b/>
          <w:bCs/>
          <w:color w:val="000000"/>
          <w:sz w:val="20"/>
          <w:szCs w:val="20"/>
          <w:rtl/>
        </w:rPr>
        <w:t xml:space="preserve"> </w:t>
      </w:r>
      <w:r w:rsidRPr="00964A9E">
        <w:rPr>
          <w:rFonts w:ascii="Tahoma" w:eastAsia="Times New Roman" w:hAnsi="Tahoma" w:cs="Tahoma"/>
          <w:sz w:val="20"/>
          <w:szCs w:val="20"/>
          <w:rtl/>
          <w:lang w:bidi="fa-IR"/>
        </w:rPr>
        <w:t>422</w:t>
      </w:r>
      <w:r w:rsidRPr="00964A9E">
        <w:rPr>
          <w:rFonts w:ascii="Tahoma" w:eastAsia="Times New Roman" w:hAnsi="Tahoma" w:cs="Tahoma"/>
          <w:sz w:val="20"/>
          <w:szCs w:val="20"/>
          <w:rtl/>
        </w:rPr>
        <w:t xml:space="preserve"> و 933 </w:t>
      </w:r>
      <w:r w:rsidRPr="00964A9E">
        <w:rPr>
          <w:rFonts w:ascii="Tahoma" w:eastAsia="Times New Roman" w:hAnsi="Tahoma" w:cs="Tahoma"/>
          <w:color w:val="000000"/>
          <w:sz w:val="20"/>
          <w:szCs w:val="20"/>
          <w:rtl/>
        </w:rPr>
        <w:t xml:space="preserve">لکه پروتئين در </w:t>
      </w:r>
      <w:r w:rsidRPr="00964A9E">
        <w:rPr>
          <w:rFonts w:ascii="Tahoma" w:eastAsia="Times New Roman" w:hAnsi="Tahoma" w:cs="Tahoma"/>
          <w:color w:val="000000"/>
          <w:sz w:val="20"/>
          <w:szCs w:val="20"/>
          <w:rtl/>
          <w:lang w:bidi="fa-IR"/>
        </w:rPr>
        <w:t xml:space="preserve">محدوده </w:t>
      </w:r>
      <w:r w:rsidRPr="00964A9E">
        <w:rPr>
          <w:rFonts w:ascii="Tahoma" w:eastAsia="Times New Roman" w:hAnsi="Tahoma" w:cs="Tahoma"/>
          <w:color w:val="000000"/>
          <w:sz w:val="20"/>
          <w:szCs w:val="20"/>
        </w:rPr>
        <w:t>pH</w:t>
      </w:r>
      <w:r w:rsidRPr="00964A9E">
        <w:rPr>
          <w:rFonts w:ascii="Tahoma" w:eastAsia="Times New Roman" w:hAnsi="Tahoma" w:cs="Tahoma"/>
          <w:color w:val="000000"/>
          <w:sz w:val="20"/>
          <w:szCs w:val="20"/>
          <w:rtl/>
          <w:lang w:bidi="fa-IR"/>
        </w:rPr>
        <w:t xml:space="preserve"> </w:t>
      </w:r>
      <w:proofErr w:type="spellStart"/>
      <w:r w:rsidRPr="00964A9E">
        <w:rPr>
          <w:rFonts w:ascii="Tahoma" w:eastAsia="Times New Roman" w:hAnsi="Tahoma" w:cs="Tahoma"/>
          <w:color w:val="000000"/>
          <w:sz w:val="20"/>
          <w:szCs w:val="20"/>
          <w:rtl/>
          <w:lang w:bidi="fa-IR"/>
        </w:rPr>
        <w:t>ایزوالکتریک</w:t>
      </w:r>
      <w:proofErr w:type="spellEnd"/>
      <w:r w:rsidRPr="00964A9E">
        <w:rPr>
          <w:rFonts w:ascii="Tahoma" w:eastAsia="Times New Roman" w:hAnsi="Tahoma" w:cs="Tahoma"/>
          <w:color w:val="000000"/>
          <w:sz w:val="20"/>
          <w:szCs w:val="20"/>
          <w:rtl/>
          <w:lang w:bidi="fa-IR"/>
        </w:rPr>
        <w:t xml:space="preserve"> 7-4 </w:t>
      </w:r>
      <w:r w:rsidRPr="00964A9E">
        <w:rPr>
          <w:rFonts w:ascii="Tahoma" w:eastAsia="Times New Roman" w:hAnsi="Tahoma" w:cs="Tahoma"/>
          <w:color w:val="000000"/>
          <w:sz w:val="20"/>
          <w:szCs w:val="20"/>
          <w:rtl/>
        </w:rPr>
        <w:t xml:space="preserve">بترتیب در ژل </w:t>
      </w:r>
      <w:r w:rsidRPr="00964A9E">
        <w:rPr>
          <w:rFonts w:ascii="Tahoma" w:eastAsia="Times New Roman" w:hAnsi="Tahoma" w:cs="Tahoma"/>
          <w:sz w:val="20"/>
          <w:szCs w:val="20"/>
          <w:rtl/>
        </w:rPr>
        <w:t xml:space="preserve">الکتروفورز دو بعدی </w:t>
      </w:r>
      <w:r w:rsidRPr="00964A9E">
        <w:rPr>
          <w:rFonts w:ascii="Tahoma" w:eastAsia="Times New Roman" w:hAnsi="Tahoma" w:cs="Tahoma"/>
          <w:color w:val="000000"/>
          <w:sz w:val="20"/>
          <w:szCs w:val="20"/>
          <w:rtl/>
        </w:rPr>
        <w:t xml:space="preserve">رنگ آمیزی شده با کوماسی کلوئیدال و نیترات نقره </w:t>
      </w:r>
      <w:r w:rsidRPr="00964A9E">
        <w:rPr>
          <w:rFonts w:ascii="Tahoma" w:eastAsia="Times New Roman" w:hAnsi="Tahoma" w:cs="Tahoma"/>
          <w:sz w:val="20"/>
          <w:szCs w:val="20"/>
          <w:rtl/>
        </w:rPr>
        <w:t>شناسایی شدند.</w:t>
      </w:r>
      <w:r w:rsidRPr="00964A9E">
        <w:rPr>
          <w:rFonts w:ascii="Calibri" w:eastAsia="Times New Roman" w:hAnsi="Calibri" w:cs="Calibri"/>
          <w:rtl/>
        </w:rPr>
        <w:t xml:space="preserve"> </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sz w:val="20"/>
          <w:szCs w:val="20"/>
          <w:rtl/>
          <w:lang w:bidi="fa-IR"/>
        </w:rPr>
        <w:t xml:space="preserve">پس از انجام روش </w:t>
      </w:r>
      <w:proofErr w:type="spellStart"/>
      <w:r w:rsidRPr="00964A9E">
        <w:rPr>
          <w:rFonts w:ascii="Tahoma" w:eastAsia="Times New Roman" w:hAnsi="Tahoma" w:cs="Tahoma"/>
          <w:sz w:val="20"/>
          <w:szCs w:val="20"/>
          <w:rtl/>
          <w:lang w:bidi="fa-IR"/>
        </w:rPr>
        <w:t>ایمنو</w:t>
      </w:r>
      <w:proofErr w:type="spellEnd"/>
      <w:r w:rsidRPr="00964A9E">
        <w:rPr>
          <w:rFonts w:ascii="Tahoma" w:eastAsia="Times New Roman" w:hAnsi="Tahoma" w:cs="Tahoma"/>
          <w:sz w:val="20"/>
          <w:szCs w:val="20"/>
          <w:rtl/>
          <w:lang w:bidi="fa-IR"/>
        </w:rPr>
        <w:t xml:space="preserve"> </w:t>
      </w:r>
      <w:proofErr w:type="spellStart"/>
      <w:r w:rsidRPr="00964A9E">
        <w:rPr>
          <w:rFonts w:ascii="Tahoma" w:eastAsia="Times New Roman" w:hAnsi="Tahoma" w:cs="Tahoma"/>
          <w:sz w:val="20"/>
          <w:szCs w:val="20"/>
          <w:rtl/>
          <w:lang w:bidi="fa-IR"/>
        </w:rPr>
        <w:t>بلاتینگ</w:t>
      </w:r>
      <w:proofErr w:type="spellEnd"/>
      <w:r w:rsidRPr="00964A9E">
        <w:rPr>
          <w:rFonts w:ascii="Tahoma" w:eastAsia="Times New Roman" w:hAnsi="Tahoma" w:cs="Tahoma"/>
          <w:sz w:val="20"/>
          <w:szCs w:val="20"/>
          <w:rtl/>
          <w:lang w:bidi="fa-IR"/>
        </w:rPr>
        <w:t>، حدود 125 لکه پروتئینی واکنش گر ایمنی شناسایی گردید،</w:t>
      </w:r>
      <w:r w:rsidRPr="00964A9E">
        <w:rPr>
          <w:rFonts w:ascii="Tahoma" w:eastAsia="Times New Roman" w:hAnsi="Tahoma" w:cs="Tahoma"/>
          <w:sz w:val="20"/>
          <w:szCs w:val="20"/>
          <w:rtl/>
        </w:rPr>
        <w:t xml:space="preserve"> که از این میان تعداد 68 لکه (4/54%) روی ژل </w:t>
      </w:r>
      <w:r w:rsidRPr="00964A9E">
        <w:rPr>
          <w:rFonts w:ascii="Tahoma" w:eastAsia="Times New Roman" w:hAnsi="Tahoma" w:cs="Tahoma"/>
          <w:sz w:val="20"/>
          <w:szCs w:val="20"/>
        </w:rPr>
        <w:t>2-DE</w:t>
      </w:r>
      <w:r w:rsidRPr="00964A9E">
        <w:rPr>
          <w:rFonts w:ascii="Tahoma" w:eastAsia="Times New Roman" w:hAnsi="Tahoma" w:cs="Tahoma"/>
          <w:sz w:val="20"/>
          <w:szCs w:val="20"/>
          <w:rtl/>
        </w:rPr>
        <w:t xml:space="preserve"> رنگ آمیزی شده با رنگ کوماسی کلوئیدال قابل تشخیص بودند. تعدادی از پروتئین های </w:t>
      </w:r>
      <w:r w:rsidRPr="00964A9E">
        <w:rPr>
          <w:rFonts w:ascii="Tahoma" w:eastAsia="Times New Roman" w:hAnsi="Tahoma" w:cs="Tahoma"/>
          <w:sz w:val="20"/>
          <w:szCs w:val="20"/>
          <w:rtl/>
          <w:lang w:bidi="fa-IR"/>
        </w:rPr>
        <w:t>واکنش گر ایمنی</w:t>
      </w:r>
      <w:r w:rsidRPr="00964A9E">
        <w:rPr>
          <w:rFonts w:ascii="Tahoma" w:eastAsia="Times New Roman" w:hAnsi="Tahoma" w:cs="Tahoma"/>
          <w:sz w:val="20"/>
          <w:szCs w:val="20"/>
          <w:rtl/>
        </w:rPr>
        <w:t xml:space="preserve"> با روش طیف سنجی جرمی شناسایی شدند که شامل: </w:t>
      </w:r>
      <w:r w:rsidRPr="00964A9E">
        <w:rPr>
          <w:rFonts w:ascii="Tahoma" w:eastAsia="Times New Roman" w:hAnsi="Tahoma" w:cs="Tahoma"/>
          <w:color w:val="000000"/>
          <w:sz w:val="20"/>
          <w:szCs w:val="20"/>
        </w:rPr>
        <w:t>Glucose-regulated protein 78</w:t>
      </w:r>
      <w:r w:rsidRPr="00964A9E">
        <w:rPr>
          <w:rFonts w:ascii="Tahoma" w:eastAsia="Times New Roman" w:hAnsi="Tahoma" w:cs="Tahoma"/>
          <w:color w:val="000000"/>
          <w:sz w:val="20"/>
          <w:szCs w:val="20"/>
          <w:rtl/>
          <w:lang w:bidi="fa-IR"/>
        </w:rPr>
        <w:t xml:space="preserve">، </w:t>
      </w:r>
      <w:r w:rsidRPr="00964A9E">
        <w:rPr>
          <w:rFonts w:ascii="Tahoma" w:eastAsia="Times New Roman" w:hAnsi="Tahoma" w:cs="Tahoma"/>
          <w:color w:val="000000"/>
          <w:sz w:val="20"/>
          <w:szCs w:val="20"/>
        </w:rPr>
        <w:t>Ubiquitin-conjugating enzyme E2</w:t>
      </w:r>
      <w:r w:rsidRPr="00964A9E">
        <w:rPr>
          <w:rFonts w:ascii="Tahoma" w:eastAsia="Times New Roman" w:hAnsi="Tahoma" w:cs="Tahoma"/>
          <w:color w:val="000000"/>
          <w:sz w:val="20"/>
          <w:szCs w:val="20"/>
          <w:rtl/>
          <w:lang w:bidi="fa-IR"/>
        </w:rPr>
        <w:t xml:space="preserve">، </w:t>
      </w:r>
      <w:proofErr w:type="spellStart"/>
      <w:r w:rsidRPr="00964A9E">
        <w:rPr>
          <w:rFonts w:ascii="Tahoma" w:eastAsia="Times New Roman" w:hAnsi="Tahoma" w:cs="Tahoma"/>
          <w:color w:val="000000"/>
          <w:sz w:val="20"/>
          <w:szCs w:val="20"/>
        </w:rPr>
        <w:t>Calreticulin</w:t>
      </w:r>
      <w:proofErr w:type="spellEnd"/>
      <w:r w:rsidRPr="00964A9E">
        <w:rPr>
          <w:rFonts w:ascii="Tahoma" w:eastAsia="Times New Roman" w:hAnsi="Tahoma" w:cs="Tahoma"/>
          <w:color w:val="000000"/>
          <w:sz w:val="20"/>
          <w:szCs w:val="20"/>
          <w:rtl/>
          <w:lang w:bidi="fa-IR"/>
        </w:rPr>
        <w:t xml:space="preserve">، </w:t>
      </w:r>
      <w:r w:rsidRPr="00964A9E">
        <w:rPr>
          <w:rFonts w:ascii="Tahoma" w:eastAsia="Times New Roman" w:hAnsi="Tahoma" w:cs="Tahoma"/>
          <w:color w:val="000000"/>
          <w:sz w:val="20"/>
          <w:szCs w:val="20"/>
        </w:rPr>
        <w:t>Heat shock 70-related protein 1, mitochondrial precursor</w:t>
      </w:r>
      <w:r w:rsidRPr="00964A9E">
        <w:rPr>
          <w:rFonts w:ascii="Tahoma" w:eastAsia="Times New Roman" w:hAnsi="Tahoma" w:cs="Tahoma"/>
          <w:color w:val="000000"/>
          <w:sz w:val="20"/>
          <w:szCs w:val="20"/>
          <w:rtl/>
          <w:lang w:bidi="fa-IR"/>
        </w:rPr>
        <w:t xml:space="preserve">، </w:t>
      </w:r>
      <w:proofErr w:type="spellStart"/>
      <w:r w:rsidRPr="00964A9E">
        <w:rPr>
          <w:rFonts w:ascii="Tahoma" w:eastAsia="Times New Roman" w:hAnsi="Tahoma" w:cs="Tahoma"/>
          <w:sz w:val="20"/>
          <w:szCs w:val="20"/>
        </w:rPr>
        <w:t>i</w:t>
      </w:r>
      <w:proofErr w:type="spellEnd"/>
      <w:r w:rsidRPr="00964A9E">
        <w:rPr>
          <w:rFonts w:ascii="Tahoma" w:eastAsia="Times New Roman" w:hAnsi="Tahoma" w:cs="Tahoma"/>
          <w:sz w:val="20"/>
          <w:szCs w:val="20"/>
        </w:rPr>
        <w:t>/6 autoantigen-like protein</w:t>
      </w:r>
      <w:r w:rsidRPr="00964A9E">
        <w:rPr>
          <w:rFonts w:ascii="Tahoma" w:eastAsia="Times New Roman" w:hAnsi="Tahoma" w:cs="Tahoma"/>
          <w:color w:val="000000"/>
          <w:sz w:val="20"/>
          <w:szCs w:val="20"/>
          <w:rtl/>
          <w:lang w:bidi="fa-IR"/>
        </w:rPr>
        <w:t xml:space="preserve">، </w:t>
      </w:r>
      <w:proofErr w:type="spellStart"/>
      <w:r w:rsidRPr="00964A9E">
        <w:rPr>
          <w:rFonts w:ascii="Tahoma" w:eastAsia="Times New Roman" w:hAnsi="Tahoma" w:cs="Tahoma"/>
          <w:color w:val="000000"/>
          <w:sz w:val="20"/>
          <w:szCs w:val="20"/>
        </w:rPr>
        <w:t>Pnitrophenylphosphatase</w:t>
      </w:r>
      <w:proofErr w:type="spellEnd"/>
      <w:r w:rsidRPr="00964A9E">
        <w:rPr>
          <w:rFonts w:ascii="Tahoma" w:eastAsia="Times New Roman" w:hAnsi="Tahoma" w:cs="Tahoma"/>
          <w:color w:val="000000"/>
          <w:sz w:val="20"/>
          <w:szCs w:val="20"/>
        </w:rPr>
        <w:t xml:space="preserve"> </w:t>
      </w:r>
      <w:r w:rsidRPr="00964A9E">
        <w:rPr>
          <w:rFonts w:ascii="Tahoma" w:eastAsia="Times New Roman" w:hAnsi="Tahoma" w:cs="Tahoma"/>
          <w:color w:val="000000"/>
          <w:sz w:val="20"/>
          <w:szCs w:val="20"/>
          <w:rtl/>
          <w:lang w:bidi="fa-IR"/>
        </w:rPr>
        <w:t xml:space="preserve">، </w:t>
      </w:r>
      <w:r w:rsidRPr="00964A9E">
        <w:rPr>
          <w:rFonts w:ascii="Tahoma" w:eastAsia="Times New Roman" w:hAnsi="Tahoma" w:cs="Tahoma"/>
          <w:color w:val="000000"/>
          <w:sz w:val="20"/>
          <w:szCs w:val="20"/>
        </w:rPr>
        <w:t>Heat shock protein 70-related protein</w:t>
      </w:r>
      <w:r w:rsidRPr="00964A9E">
        <w:rPr>
          <w:rFonts w:ascii="Tahoma" w:eastAsia="Times New Roman" w:hAnsi="Tahoma" w:cs="Tahoma"/>
          <w:color w:val="000000"/>
          <w:sz w:val="20"/>
          <w:szCs w:val="20"/>
          <w:rtl/>
          <w:lang w:bidi="fa-IR"/>
        </w:rPr>
        <w:t xml:space="preserve">، </w:t>
      </w:r>
      <w:r w:rsidRPr="00964A9E">
        <w:rPr>
          <w:rFonts w:ascii="Tahoma" w:eastAsia="Times New Roman" w:hAnsi="Tahoma" w:cs="Tahoma"/>
          <w:color w:val="000000"/>
          <w:sz w:val="20"/>
          <w:szCs w:val="20"/>
        </w:rPr>
        <w:t>ATPase beta subunit</w:t>
      </w:r>
      <w:r w:rsidRPr="00964A9E">
        <w:rPr>
          <w:rFonts w:ascii="Tahoma" w:eastAsia="Times New Roman" w:hAnsi="Tahoma" w:cs="Tahoma"/>
          <w:color w:val="000000"/>
          <w:sz w:val="20"/>
          <w:szCs w:val="20"/>
          <w:rtl/>
          <w:lang w:bidi="fa-IR"/>
        </w:rPr>
        <w:t>،</w:t>
      </w:r>
      <w:r w:rsidRPr="00964A9E">
        <w:rPr>
          <w:rFonts w:ascii="Tahoma" w:eastAsia="Times New Roman" w:hAnsi="Tahoma" w:cs="Tahoma"/>
          <w:color w:val="000000"/>
          <w:sz w:val="20"/>
          <w:szCs w:val="20"/>
        </w:rPr>
        <w:t xml:space="preserve">Proteasome alpha (1,3,5 subunit) </w:t>
      </w:r>
      <w:r w:rsidRPr="00964A9E">
        <w:rPr>
          <w:rFonts w:ascii="Tahoma" w:eastAsia="Times New Roman" w:hAnsi="Tahoma" w:cs="Tahoma"/>
          <w:color w:val="000000"/>
          <w:sz w:val="20"/>
          <w:szCs w:val="20"/>
          <w:rtl/>
          <w:lang w:bidi="fa-IR"/>
        </w:rPr>
        <w:t xml:space="preserve">، </w:t>
      </w:r>
      <w:r w:rsidRPr="00964A9E">
        <w:rPr>
          <w:rFonts w:ascii="Tahoma" w:eastAsia="Times New Roman" w:hAnsi="Tahoma" w:cs="Tahoma"/>
          <w:color w:val="000000"/>
          <w:sz w:val="20"/>
          <w:szCs w:val="20"/>
        </w:rPr>
        <w:t>Beta tubulin</w:t>
      </w:r>
      <w:r w:rsidRPr="00964A9E">
        <w:rPr>
          <w:rFonts w:ascii="Tahoma" w:eastAsia="Times New Roman" w:hAnsi="Tahoma" w:cs="Tahoma"/>
          <w:color w:val="000000"/>
          <w:sz w:val="20"/>
          <w:szCs w:val="20"/>
          <w:rtl/>
          <w:lang w:bidi="fa-IR"/>
        </w:rPr>
        <w:t>،</w:t>
      </w:r>
      <w:r w:rsidRPr="00964A9E">
        <w:rPr>
          <w:rFonts w:ascii="Calibri" w:eastAsia="Times New Roman" w:hAnsi="Calibri" w:cs="Calibri"/>
          <w:rtl/>
        </w:rPr>
        <w:t xml:space="preserve"> </w:t>
      </w:r>
      <w:r w:rsidRPr="00964A9E">
        <w:rPr>
          <w:rFonts w:ascii="Tahoma" w:eastAsia="Times New Roman" w:hAnsi="Tahoma" w:cs="Tahoma"/>
          <w:sz w:val="20"/>
          <w:szCs w:val="20"/>
        </w:rPr>
        <w:t xml:space="preserve">hypothetical </w:t>
      </w:r>
      <w:r w:rsidRPr="00964A9E">
        <w:rPr>
          <w:rFonts w:ascii="Tahoma" w:eastAsia="Times New Roman" w:hAnsi="Tahoma" w:cs="Tahoma"/>
          <w:color w:val="000000"/>
          <w:sz w:val="20"/>
          <w:szCs w:val="20"/>
        </w:rPr>
        <w:t xml:space="preserve">conserved </w:t>
      </w:r>
      <w:r w:rsidRPr="00964A9E">
        <w:rPr>
          <w:rFonts w:ascii="Tahoma" w:eastAsia="Times New Roman" w:hAnsi="Tahoma" w:cs="Tahoma"/>
          <w:color w:val="000000"/>
          <w:sz w:val="20"/>
          <w:szCs w:val="20"/>
          <w:rtl/>
          <w:lang w:bidi="fa-IR"/>
        </w:rPr>
        <w:t xml:space="preserve"> بودند. </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sz w:val="20"/>
          <w:szCs w:val="20"/>
          <w:rtl/>
        </w:rPr>
        <w:t xml:space="preserve">مناطق اپیتوپ خطی و فضایی سلول </w:t>
      </w:r>
      <w:r w:rsidRPr="00964A9E">
        <w:rPr>
          <w:rFonts w:ascii="Tahoma" w:eastAsia="Times New Roman" w:hAnsi="Tahoma" w:cs="Tahoma"/>
          <w:sz w:val="20"/>
          <w:szCs w:val="20"/>
        </w:rPr>
        <w:t>B</w:t>
      </w:r>
      <w:r w:rsidRPr="00964A9E">
        <w:rPr>
          <w:rFonts w:ascii="Tahoma" w:eastAsia="Times New Roman" w:hAnsi="Tahoma" w:cs="Tahoma"/>
          <w:sz w:val="20"/>
          <w:szCs w:val="20"/>
          <w:rtl/>
        </w:rPr>
        <w:t xml:space="preserve"> آنتی ژن های </w:t>
      </w:r>
      <w:r w:rsidRPr="00964A9E">
        <w:rPr>
          <w:rFonts w:ascii="Tahoma" w:eastAsia="Times New Roman" w:hAnsi="Tahoma" w:cs="Tahoma"/>
          <w:sz w:val="20"/>
          <w:szCs w:val="20"/>
        </w:rPr>
        <w:t>glucose-regulated protein 78</w:t>
      </w:r>
      <w:r w:rsidRPr="00964A9E">
        <w:rPr>
          <w:rFonts w:ascii="Tahoma" w:eastAsia="Times New Roman" w:hAnsi="Tahoma" w:cs="Tahoma"/>
          <w:sz w:val="20"/>
          <w:szCs w:val="20"/>
          <w:rtl/>
          <w:lang w:bidi="fa-IR"/>
        </w:rPr>
        <w:t xml:space="preserve"> و </w:t>
      </w:r>
      <w:r w:rsidRPr="00964A9E">
        <w:rPr>
          <w:rFonts w:ascii="Tahoma" w:eastAsia="Times New Roman" w:hAnsi="Tahoma" w:cs="Tahoma"/>
          <w:color w:val="000000"/>
          <w:sz w:val="20"/>
          <w:szCs w:val="20"/>
        </w:rPr>
        <w:t>Heat shock 70-related protein 1</w:t>
      </w:r>
      <w:r w:rsidRPr="00964A9E">
        <w:rPr>
          <w:rFonts w:ascii="Tahoma" w:eastAsia="Times New Roman" w:hAnsi="Tahoma" w:cs="Tahoma"/>
          <w:color w:val="000000"/>
          <w:sz w:val="20"/>
          <w:szCs w:val="20"/>
          <w:rtl/>
          <w:lang w:bidi="fa-IR"/>
        </w:rPr>
        <w:t xml:space="preserve"> (پیش ساز </w:t>
      </w:r>
      <w:proofErr w:type="spellStart"/>
      <w:r w:rsidRPr="00964A9E">
        <w:rPr>
          <w:rFonts w:ascii="Tahoma" w:eastAsia="Times New Roman" w:hAnsi="Tahoma" w:cs="Tahoma"/>
          <w:color w:val="000000"/>
          <w:sz w:val="20"/>
          <w:szCs w:val="20"/>
          <w:rtl/>
          <w:lang w:bidi="fa-IR"/>
        </w:rPr>
        <w:t>میتوکندریال</w:t>
      </w:r>
      <w:proofErr w:type="spellEnd"/>
      <w:r w:rsidRPr="00964A9E">
        <w:rPr>
          <w:rFonts w:ascii="Tahoma" w:eastAsia="Times New Roman" w:hAnsi="Tahoma" w:cs="Tahoma"/>
          <w:color w:val="000000"/>
          <w:sz w:val="20"/>
          <w:szCs w:val="20"/>
          <w:rtl/>
          <w:lang w:bidi="fa-IR"/>
        </w:rPr>
        <w:t>)،</w:t>
      </w:r>
      <w:r w:rsidRPr="00964A9E">
        <w:rPr>
          <w:rFonts w:ascii="Calibri" w:eastAsia="Times New Roman" w:hAnsi="Calibri" w:cs="Calibri"/>
          <w:rtl/>
        </w:rPr>
        <w:t xml:space="preserve"> </w:t>
      </w:r>
      <w:r w:rsidRPr="00964A9E">
        <w:rPr>
          <w:rFonts w:ascii="Tahoma" w:eastAsia="Times New Roman" w:hAnsi="Tahoma" w:cs="Tahoma"/>
          <w:sz w:val="20"/>
          <w:szCs w:val="20"/>
        </w:rPr>
        <w:t>ubiquitin-conjugating enzyme E2</w:t>
      </w:r>
      <w:r w:rsidRPr="00964A9E">
        <w:rPr>
          <w:rFonts w:ascii="Tahoma" w:eastAsia="Times New Roman" w:hAnsi="Tahoma" w:cs="Tahoma"/>
          <w:sz w:val="20"/>
          <w:szCs w:val="20"/>
          <w:rtl/>
        </w:rPr>
        <w:t xml:space="preserve"> انتخاب شدند و </w:t>
      </w:r>
      <w:r w:rsidRPr="00964A9E">
        <w:rPr>
          <w:rFonts w:ascii="Tahoma" w:eastAsia="Times New Roman" w:hAnsi="Tahoma" w:cs="Tahoma"/>
          <w:sz w:val="20"/>
          <w:szCs w:val="20"/>
          <w:rtl/>
          <w:lang w:bidi="fa-IR"/>
        </w:rPr>
        <w:t xml:space="preserve">سپس </w:t>
      </w:r>
      <w:r w:rsidRPr="00964A9E">
        <w:rPr>
          <w:rFonts w:ascii="Tahoma" w:eastAsia="Times New Roman" w:hAnsi="Tahoma" w:cs="Tahoma"/>
          <w:sz w:val="20"/>
          <w:szCs w:val="20"/>
          <w:rtl/>
        </w:rPr>
        <w:t>س</w:t>
      </w:r>
      <w:proofErr w:type="spellStart"/>
      <w:r w:rsidRPr="00964A9E">
        <w:rPr>
          <w:rFonts w:ascii="Tahoma" w:eastAsia="Times New Roman" w:hAnsi="Tahoma" w:cs="Tahoma"/>
          <w:color w:val="000000"/>
          <w:sz w:val="20"/>
          <w:szCs w:val="20"/>
          <w:rtl/>
          <w:lang w:bidi="fa-IR"/>
        </w:rPr>
        <w:t>ازه</w:t>
      </w:r>
      <w:proofErr w:type="spellEnd"/>
      <w:r w:rsidRPr="00964A9E">
        <w:rPr>
          <w:rFonts w:ascii="Tahoma" w:eastAsia="Times New Roman" w:hAnsi="Tahoma" w:cs="Tahoma"/>
          <w:color w:val="000000"/>
          <w:sz w:val="20"/>
          <w:szCs w:val="20"/>
          <w:rtl/>
          <w:lang w:bidi="fa-IR"/>
        </w:rPr>
        <w:t xml:space="preserve"> پروتئین نوترکیب</w:t>
      </w:r>
      <w:r w:rsidRPr="00964A9E">
        <w:rPr>
          <w:rFonts w:ascii="Tahoma" w:eastAsia="Times New Roman" w:hAnsi="Tahoma" w:cs="Tahoma"/>
          <w:sz w:val="20"/>
          <w:szCs w:val="20"/>
        </w:rPr>
        <w:t>GRP-UBI-HSP</w:t>
      </w:r>
      <w:r w:rsidRPr="00964A9E">
        <w:rPr>
          <w:rFonts w:ascii="Calibri" w:eastAsia="Times New Roman" w:hAnsi="Calibri" w:cs="Calibri"/>
          <w:b/>
          <w:bCs/>
          <w:rtl/>
        </w:rPr>
        <w:t xml:space="preserve">  </w:t>
      </w:r>
      <w:r w:rsidRPr="00964A9E">
        <w:rPr>
          <w:rFonts w:ascii="Tahoma" w:eastAsia="Times New Roman" w:hAnsi="Tahoma" w:cs="Tahoma"/>
          <w:sz w:val="20"/>
          <w:szCs w:val="20"/>
          <w:rtl/>
        </w:rPr>
        <w:t>ساخته شد.</w:t>
      </w:r>
    </w:p>
    <w:p w:rsidR="00964A9E" w:rsidRPr="00964A9E" w:rsidRDefault="00964A9E" w:rsidP="00964A9E">
      <w:pPr>
        <w:bidi/>
        <w:spacing w:after="100" w:afterAutospacing="1" w:line="240" w:lineRule="auto"/>
        <w:rPr>
          <w:rFonts w:ascii="Times New Roman" w:eastAsia="Times New Roman" w:hAnsi="Times New Roman" w:cs="Times New Roman"/>
          <w:sz w:val="24"/>
          <w:szCs w:val="24"/>
          <w:rtl/>
        </w:rPr>
      </w:pPr>
      <w:r w:rsidRPr="00964A9E">
        <w:rPr>
          <w:rFonts w:ascii="Tahoma" w:eastAsia="Times New Roman" w:hAnsi="Tahoma" w:cs="Tahoma"/>
          <w:sz w:val="20"/>
          <w:szCs w:val="20"/>
          <w:rtl/>
          <w:lang w:bidi="fa-IR"/>
        </w:rPr>
        <w:lastRenderedPageBreak/>
        <w:t xml:space="preserve">میزان حساسیت و </w:t>
      </w:r>
      <w:proofErr w:type="spellStart"/>
      <w:r w:rsidRPr="00964A9E">
        <w:rPr>
          <w:rFonts w:ascii="Tahoma" w:eastAsia="Times New Roman" w:hAnsi="Tahoma" w:cs="Tahoma"/>
          <w:sz w:val="20"/>
          <w:szCs w:val="20"/>
          <w:rtl/>
          <w:lang w:bidi="fa-IR"/>
        </w:rPr>
        <w:t>اختصاصیت</w:t>
      </w:r>
      <w:proofErr w:type="spellEnd"/>
      <w:r w:rsidRPr="00964A9E">
        <w:rPr>
          <w:rFonts w:ascii="Tahoma" w:eastAsia="Times New Roman" w:hAnsi="Tahoma" w:cs="Tahoma"/>
          <w:sz w:val="20"/>
          <w:szCs w:val="20"/>
          <w:rtl/>
          <w:lang w:bidi="fa-IR"/>
        </w:rPr>
        <w:t xml:space="preserve"> تست </w:t>
      </w:r>
      <w:r w:rsidRPr="00964A9E">
        <w:rPr>
          <w:rFonts w:ascii="Tahoma" w:eastAsia="Times New Roman" w:hAnsi="Tahoma" w:cs="Tahoma"/>
          <w:sz w:val="20"/>
          <w:szCs w:val="20"/>
        </w:rPr>
        <w:t>ELISA</w:t>
      </w:r>
      <w:r w:rsidRPr="00964A9E">
        <w:rPr>
          <w:rFonts w:ascii="Tahoma" w:eastAsia="Times New Roman" w:hAnsi="Tahoma" w:cs="Tahoma"/>
          <w:sz w:val="20"/>
          <w:szCs w:val="20"/>
          <w:rtl/>
          <w:lang w:bidi="fa-IR"/>
        </w:rPr>
        <w:t xml:space="preserve"> با استفاده از آنتی ژن نوترکیب </w:t>
      </w:r>
      <w:r w:rsidRPr="00964A9E">
        <w:rPr>
          <w:rFonts w:ascii="Tahoma" w:eastAsia="Times New Roman" w:hAnsi="Tahoma" w:cs="Tahoma"/>
          <w:sz w:val="20"/>
          <w:szCs w:val="20"/>
        </w:rPr>
        <w:t>GRP-UBI-HSP</w:t>
      </w:r>
      <w:r w:rsidRPr="00964A9E">
        <w:rPr>
          <w:rFonts w:ascii="Tahoma" w:eastAsia="Times New Roman" w:hAnsi="Tahoma" w:cs="Tahoma"/>
          <w:sz w:val="20"/>
          <w:szCs w:val="20"/>
          <w:rtl/>
          <w:lang w:bidi="fa-IR"/>
        </w:rPr>
        <w:t xml:space="preserve"> در نمونه های سرم انسانی جهت تشخیص </w:t>
      </w:r>
      <w:proofErr w:type="spellStart"/>
      <w:r w:rsidRPr="00964A9E">
        <w:rPr>
          <w:rFonts w:ascii="Tahoma" w:eastAsia="Times New Roman" w:hAnsi="Tahoma" w:cs="Tahoma"/>
          <w:sz w:val="20"/>
          <w:szCs w:val="20"/>
          <w:rtl/>
          <w:lang w:bidi="fa-IR"/>
        </w:rPr>
        <w:t>لیشمانیوز</w:t>
      </w:r>
      <w:proofErr w:type="spellEnd"/>
      <w:r w:rsidRPr="00964A9E">
        <w:rPr>
          <w:rFonts w:ascii="Tahoma" w:eastAsia="Times New Roman" w:hAnsi="Tahoma" w:cs="Tahoma"/>
          <w:sz w:val="20"/>
          <w:szCs w:val="20"/>
          <w:rtl/>
          <w:lang w:bidi="fa-IR"/>
        </w:rPr>
        <w:t xml:space="preserve"> </w:t>
      </w:r>
      <w:proofErr w:type="spellStart"/>
      <w:r w:rsidRPr="00964A9E">
        <w:rPr>
          <w:rFonts w:ascii="Tahoma" w:eastAsia="Times New Roman" w:hAnsi="Tahoma" w:cs="Tahoma"/>
          <w:sz w:val="20"/>
          <w:szCs w:val="20"/>
          <w:rtl/>
          <w:lang w:bidi="fa-IR"/>
        </w:rPr>
        <w:t>احشایی</w:t>
      </w:r>
      <w:proofErr w:type="spellEnd"/>
      <w:r w:rsidRPr="00964A9E">
        <w:rPr>
          <w:rFonts w:ascii="Tahoma" w:eastAsia="Times New Roman" w:hAnsi="Tahoma" w:cs="Tahoma"/>
          <w:sz w:val="20"/>
          <w:szCs w:val="20"/>
          <w:rtl/>
          <w:lang w:bidi="fa-IR"/>
        </w:rPr>
        <w:t xml:space="preserve"> </w:t>
      </w:r>
      <w:proofErr w:type="spellStart"/>
      <w:r w:rsidRPr="00964A9E">
        <w:rPr>
          <w:rFonts w:ascii="Tahoma" w:eastAsia="Times New Roman" w:hAnsi="Tahoma" w:cs="Tahoma"/>
          <w:sz w:val="20"/>
          <w:szCs w:val="20"/>
          <w:rtl/>
          <w:lang w:bidi="fa-IR"/>
        </w:rPr>
        <w:t>بترتیب</w:t>
      </w:r>
      <w:proofErr w:type="spellEnd"/>
      <w:r w:rsidRPr="00964A9E">
        <w:rPr>
          <w:rFonts w:ascii="Tahoma" w:eastAsia="Times New Roman" w:hAnsi="Tahoma" w:cs="Tahoma"/>
          <w:sz w:val="20"/>
          <w:szCs w:val="20"/>
          <w:rtl/>
          <w:lang w:bidi="fa-IR"/>
        </w:rPr>
        <w:t xml:space="preserve"> 6/70% و 1/84% و با آنتی ژن خام انگل </w:t>
      </w:r>
      <w:proofErr w:type="spellStart"/>
      <w:r w:rsidRPr="00964A9E">
        <w:rPr>
          <w:rFonts w:ascii="Tahoma" w:eastAsia="Times New Roman" w:hAnsi="Tahoma" w:cs="Tahoma"/>
          <w:sz w:val="20"/>
          <w:szCs w:val="20"/>
          <w:rtl/>
          <w:lang w:bidi="fa-IR"/>
        </w:rPr>
        <w:t>بترتیب</w:t>
      </w:r>
      <w:proofErr w:type="spellEnd"/>
      <w:r w:rsidRPr="00964A9E">
        <w:rPr>
          <w:rFonts w:ascii="Tahoma" w:eastAsia="Times New Roman" w:hAnsi="Tahoma" w:cs="Tahoma"/>
          <w:sz w:val="20"/>
          <w:szCs w:val="20"/>
          <w:rtl/>
          <w:lang w:bidi="fa-IR"/>
        </w:rPr>
        <w:t xml:space="preserve"> 18/91% و 5/92% تعیین گردید.</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b/>
          <w:bCs/>
          <w:color w:val="000000"/>
          <w:sz w:val="20"/>
          <w:szCs w:val="20"/>
          <w:rtl/>
          <w:lang w:bidi="fa-IR"/>
        </w:rPr>
        <w:t xml:space="preserve">نتیجه گیری: </w:t>
      </w:r>
      <w:r w:rsidRPr="00964A9E">
        <w:rPr>
          <w:rFonts w:ascii="Tahoma" w:eastAsia="Times New Roman" w:hAnsi="Tahoma" w:cs="Tahoma"/>
          <w:sz w:val="20"/>
          <w:szCs w:val="20"/>
          <w:rtl/>
          <w:lang w:bidi="fa-IR"/>
        </w:rPr>
        <w:t xml:space="preserve">این مطالعه اولین گام در زمینه کاربرد </w:t>
      </w:r>
      <w:proofErr w:type="spellStart"/>
      <w:r w:rsidRPr="00964A9E">
        <w:rPr>
          <w:rFonts w:ascii="Tahoma" w:eastAsia="Times New Roman" w:hAnsi="Tahoma" w:cs="Tahoma"/>
          <w:sz w:val="20"/>
          <w:szCs w:val="20"/>
          <w:rtl/>
          <w:lang w:bidi="fa-IR"/>
        </w:rPr>
        <w:t>ایمونوپروتئومیکس</w:t>
      </w:r>
      <w:proofErr w:type="spellEnd"/>
      <w:r w:rsidRPr="00964A9E">
        <w:rPr>
          <w:rFonts w:ascii="Tahoma" w:eastAsia="Times New Roman" w:hAnsi="Tahoma" w:cs="Tahoma"/>
          <w:sz w:val="20"/>
          <w:szCs w:val="20"/>
          <w:rtl/>
          <w:lang w:bidi="fa-IR"/>
        </w:rPr>
        <w:t xml:space="preserve"> و معرفی یک سازه پروتئینی نوترکیب جدید در جهت تشخیص بیماری </w:t>
      </w:r>
      <w:proofErr w:type="spellStart"/>
      <w:r w:rsidRPr="00964A9E">
        <w:rPr>
          <w:rFonts w:ascii="Tahoma" w:eastAsia="Times New Roman" w:hAnsi="Tahoma" w:cs="Tahoma"/>
          <w:sz w:val="20"/>
          <w:szCs w:val="20"/>
          <w:rtl/>
          <w:lang w:bidi="fa-IR"/>
        </w:rPr>
        <w:t>لیشمانیوز</w:t>
      </w:r>
      <w:proofErr w:type="spellEnd"/>
      <w:r w:rsidRPr="00964A9E">
        <w:rPr>
          <w:rFonts w:ascii="Tahoma" w:eastAsia="Times New Roman" w:hAnsi="Tahoma" w:cs="Tahoma"/>
          <w:sz w:val="20"/>
          <w:szCs w:val="20"/>
          <w:rtl/>
          <w:lang w:bidi="fa-IR"/>
        </w:rPr>
        <w:t xml:space="preserve"> </w:t>
      </w:r>
      <w:proofErr w:type="spellStart"/>
      <w:r w:rsidRPr="00964A9E">
        <w:rPr>
          <w:rFonts w:ascii="Tahoma" w:eastAsia="Times New Roman" w:hAnsi="Tahoma" w:cs="Tahoma"/>
          <w:sz w:val="20"/>
          <w:szCs w:val="20"/>
          <w:rtl/>
          <w:lang w:bidi="fa-IR"/>
        </w:rPr>
        <w:t>احشایی</w:t>
      </w:r>
      <w:proofErr w:type="spellEnd"/>
      <w:r w:rsidRPr="00964A9E">
        <w:rPr>
          <w:rFonts w:ascii="Tahoma" w:eastAsia="Times New Roman" w:hAnsi="Tahoma" w:cs="Tahoma"/>
          <w:sz w:val="20"/>
          <w:szCs w:val="20"/>
          <w:rtl/>
          <w:lang w:bidi="fa-IR"/>
        </w:rPr>
        <w:t xml:space="preserve"> می باشد که بنظر می رسد در گام های بعدی با ارتقاء کیفیت تکنیک ها می توان از آن در تفکیک نمونه های بالینی و تحت بالینی به خوبی استفاده نمود.</w:t>
      </w:r>
    </w:p>
    <w:p w:rsidR="00964A9E" w:rsidRPr="00964A9E" w:rsidRDefault="00964A9E" w:rsidP="00964A9E">
      <w:pPr>
        <w:bidi/>
        <w:spacing w:line="240" w:lineRule="auto"/>
        <w:rPr>
          <w:rFonts w:ascii="Times New Roman" w:eastAsia="Times New Roman" w:hAnsi="Times New Roman" w:cs="Times New Roman"/>
          <w:sz w:val="24"/>
          <w:szCs w:val="24"/>
          <w:rtl/>
        </w:rPr>
      </w:pPr>
      <w:r w:rsidRPr="00964A9E">
        <w:rPr>
          <w:rFonts w:ascii="Tahoma" w:eastAsia="Times New Roman" w:hAnsi="Tahoma" w:cs="Tahoma"/>
          <w:b/>
          <w:bCs/>
          <w:color w:val="000000"/>
          <w:sz w:val="20"/>
          <w:szCs w:val="20"/>
          <w:rtl/>
          <w:lang w:bidi="fa-IR"/>
        </w:rPr>
        <w:t xml:space="preserve">واژگان کلیدی: </w:t>
      </w:r>
      <w:r w:rsidRPr="00964A9E">
        <w:rPr>
          <w:rFonts w:ascii="Tahoma" w:eastAsia="Times New Roman" w:hAnsi="Tahoma" w:cs="Tahoma"/>
          <w:color w:val="000000"/>
          <w:sz w:val="20"/>
          <w:szCs w:val="20"/>
          <w:rtl/>
          <w:lang w:bidi="fa-IR"/>
        </w:rPr>
        <w:t xml:space="preserve">تشخیص؛ </w:t>
      </w:r>
      <w:proofErr w:type="spellStart"/>
      <w:r w:rsidRPr="00964A9E">
        <w:rPr>
          <w:rFonts w:ascii="Tahoma" w:eastAsia="Times New Roman" w:hAnsi="Tahoma" w:cs="Tahoma"/>
          <w:color w:val="000000"/>
          <w:sz w:val="20"/>
          <w:szCs w:val="20"/>
          <w:rtl/>
          <w:lang w:bidi="fa-IR"/>
        </w:rPr>
        <w:t>لیشمانیوز</w:t>
      </w:r>
      <w:proofErr w:type="spellEnd"/>
      <w:r w:rsidRPr="00964A9E">
        <w:rPr>
          <w:rFonts w:ascii="Tahoma" w:eastAsia="Times New Roman" w:hAnsi="Tahoma" w:cs="Tahoma"/>
          <w:color w:val="000000"/>
          <w:sz w:val="20"/>
          <w:szCs w:val="20"/>
          <w:rtl/>
          <w:lang w:bidi="fa-IR"/>
        </w:rPr>
        <w:t xml:space="preserve"> </w:t>
      </w:r>
      <w:proofErr w:type="spellStart"/>
      <w:r w:rsidRPr="00964A9E">
        <w:rPr>
          <w:rFonts w:ascii="Tahoma" w:eastAsia="Times New Roman" w:hAnsi="Tahoma" w:cs="Tahoma"/>
          <w:color w:val="000000"/>
          <w:sz w:val="20"/>
          <w:szCs w:val="20"/>
          <w:rtl/>
          <w:lang w:bidi="fa-IR"/>
        </w:rPr>
        <w:t>احشایی</w:t>
      </w:r>
      <w:proofErr w:type="spellEnd"/>
      <w:r w:rsidRPr="00964A9E">
        <w:rPr>
          <w:rFonts w:ascii="Tahoma" w:eastAsia="Times New Roman" w:hAnsi="Tahoma" w:cs="Tahoma"/>
          <w:color w:val="000000"/>
          <w:sz w:val="20"/>
          <w:szCs w:val="20"/>
          <w:rtl/>
          <w:lang w:bidi="fa-IR"/>
        </w:rPr>
        <w:t xml:space="preserve">؛ </w:t>
      </w:r>
      <w:proofErr w:type="spellStart"/>
      <w:r w:rsidRPr="00964A9E">
        <w:rPr>
          <w:rFonts w:ascii="Tahoma" w:eastAsia="Times New Roman" w:hAnsi="Tahoma" w:cs="Tahoma"/>
          <w:color w:val="000000"/>
          <w:sz w:val="20"/>
          <w:szCs w:val="20"/>
          <w:rtl/>
          <w:lang w:bidi="fa-IR"/>
        </w:rPr>
        <w:t>پروتئومیکس</w:t>
      </w:r>
      <w:proofErr w:type="spellEnd"/>
      <w:r w:rsidRPr="00964A9E">
        <w:rPr>
          <w:rFonts w:ascii="Tahoma" w:eastAsia="Times New Roman" w:hAnsi="Tahoma" w:cs="Tahoma"/>
          <w:color w:val="000000"/>
          <w:sz w:val="20"/>
          <w:szCs w:val="20"/>
          <w:rtl/>
          <w:lang w:bidi="fa-IR"/>
        </w:rPr>
        <w:t>؛</w:t>
      </w:r>
      <w:r w:rsidRPr="00964A9E">
        <w:rPr>
          <w:rFonts w:ascii="Calibri" w:eastAsia="Times New Roman" w:hAnsi="Calibri" w:cs="Calibri"/>
          <w:rtl/>
        </w:rPr>
        <w:t xml:space="preserve"> </w:t>
      </w:r>
      <w:r w:rsidRPr="00964A9E">
        <w:rPr>
          <w:rFonts w:ascii="Tahoma" w:eastAsia="Times New Roman" w:hAnsi="Tahoma" w:cs="Tahoma"/>
          <w:sz w:val="20"/>
          <w:szCs w:val="20"/>
          <w:rtl/>
          <w:lang w:bidi="fa-IR"/>
        </w:rPr>
        <w:t>پروتئین واکنش گر ایمنی؛</w:t>
      </w:r>
      <w:r w:rsidRPr="00964A9E">
        <w:rPr>
          <w:rFonts w:ascii="Tahoma" w:eastAsia="Times New Roman" w:hAnsi="Tahoma" w:cs="Tahoma"/>
          <w:color w:val="000000"/>
          <w:sz w:val="20"/>
          <w:szCs w:val="20"/>
          <w:rtl/>
          <w:lang w:bidi="fa-IR"/>
        </w:rPr>
        <w:t xml:space="preserve"> پلی پپتید مولتی </w:t>
      </w:r>
      <w:proofErr w:type="spellStart"/>
      <w:r w:rsidRPr="00964A9E">
        <w:rPr>
          <w:rFonts w:ascii="Tahoma" w:eastAsia="Times New Roman" w:hAnsi="Tahoma" w:cs="Tahoma"/>
          <w:color w:val="000000"/>
          <w:sz w:val="20"/>
          <w:szCs w:val="20"/>
          <w:rtl/>
          <w:lang w:bidi="fa-IR"/>
        </w:rPr>
        <w:t>اپیتوپ</w:t>
      </w:r>
      <w:proofErr w:type="spellEnd"/>
    </w:p>
    <w:p w:rsidR="00D12574" w:rsidRDefault="00D12574" w:rsidP="00964A9E">
      <w:pPr>
        <w:bidi/>
      </w:pPr>
    </w:p>
    <w:sectPr w:rsidR="00D12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9E"/>
    <w:rsid w:val="008C6D8C"/>
    <w:rsid w:val="00964A9E"/>
    <w:rsid w:val="00D12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F9FD8-7C55-4FA2-AD6D-C8F7B78B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2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1379163749</dc:creator>
  <cp:keywords/>
  <dc:description/>
  <cp:lastModifiedBy>1379163749</cp:lastModifiedBy>
  <cp:revision>2</cp:revision>
  <dcterms:created xsi:type="dcterms:W3CDTF">2022-01-05T08:27:00Z</dcterms:created>
  <dcterms:modified xsi:type="dcterms:W3CDTF">2022-01-05T08:29:00Z</dcterms:modified>
</cp:coreProperties>
</file>